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5F6CB">
      <w:pPr>
        <w:pStyle w:val="2"/>
        <w:keepNext/>
        <w:keepLines/>
        <w:pageBreakBefore w:val="0"/>
        <w:widowControl w:val="0"/>
        <w:kinsoku/>
        <w:wordWrap/>
        <w:overflowPunct/>
        <w:topLinePunct w:val="0"/>
        <w:autoSpaceDE/>
        <w:autoSpaceDN/>
        <w:bidi w:val="0"/>
        <w:adjustRightInd/>
        <w:snapToGrid/>
        <w:spacing w:before="200" w:after="400" w:line="360" w:lineRule="auto"/>
        <w:textAlignment w:val="auto"/>
        <w:rPr>
          <w:rFonts w:hint="eastAsia"/>
        </w:rPr>
      </w:pPr>
      <w:r>
        <w:rPr>
          <w:rFonts w:hint="eastAsia"/>
        </w:rPr>
        <w:t>海南师范大学音乐学院办公家具、教学乐器、学生人员及学生行李搬迁服务采购公告</w:t>
      </w:r>
    </w:p>
    <w:p w14:paraId="463FD4E7">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b/>
          <w:bCs/>
          <w:color w:val="auto"/>
          <w:sz w:val="32"/>
          <w:szCs w:val="32"/>
        </w:rPr>
      </w:pPr>
      <w:bookmarkStart w:id="0" w:name="heading_0"/>
    </w:p>
    <w:p w14:paraId="62B410A4">
      <w:pPr>
        <w:pStyle w:val="3"/>
        <w:bidi w:val="0"/>
        <w:rPr>
          <w:rFonts w:hint="eastAsia"/>
        </w:rPr>
      </w:pPr>
      <w:r>
        <w:rPr>
          <w:rFonts w:hint="eastAsia"/>
        </w:rPr>
        <w:t>一、项目概况</w:t>
      </w:r>
      <w:bookmarkEnd w:id="0"/>
    </w:p>
    <w:p w14:paraId="02206C2C">
      <w:pPr>
        <w:keepNext w:val="0"/>
        <w:keepLines w:val="0"/>
        <w:pageBreakBefore w:val="0"/>
        <w:widowControl w:val="0"/>
        <w:kinsoku/>
        <w:wordWrap/>
        <w:overflowPunct/>
        <w:topLinePunct w:val="0"/>
        <w:autoSpaceDE/>
        <w:autoSpaceDN/>
        <w:bidi w:val="0"/>
        <w:adjustRightInd/>
        <w:snapToGrid/>
        <w:spacing w:after="120" w:line="360" w:lineRule="auto"/>
        <w:ind w:firstLine="480" w:firstLineChars="200"/>
        <w:textAlignment w:val="auto"/>
        <w:rPr>
          <w:rFonts w:hint="eastAsia"/>
          <w:lang w:eastAsia="zh-CN"/>
        </w:rPr>
      </w:pPr>
      <w:r>
        <w:rPr>
          <w:rFonts w:hint="eastAsia"/>
        </w:rPr>
        <w:t>项目名称：海南师范大学音乐学院办公家具、教学乐器、学生人员及学生行李搬迁服务采购。</w:t>
      </w:r>
    </w:p>
    <w:p w14:paraId="43C758B6">
      <w:pPr>
        <w:keepNext w:val="0"/>
        <w:keepLines w:val="0"/>
        <w:pageBreakBefore w:val="0"/>
        <w:widowControl w:val="0"/>
        <w:kinsoku/>
        <w:wordWrap/>
        <w:overflowPunct/>
        <w:topLinePunct w:val="0"/>
        <w:autoSpaceDE/>
        <w:autoSpaceDN/>
        <w:bidi w:val="0"/>
        <w:adjustRightInd/>
        <w:snapToGrid/>
        <w:spacing w:after="120" w:line="360" w:lineRule="auto"/>
        <w:ind w:firstLine="480" w:firstLineChars="200"/>
        <w:textAlignment w:val="auto"/>
        <w:rPr>
          <w:rFonts w:hint="eastAsia"/>
          <w:lang w:eastAsia="zh-CN"/>
        </w:rPr>
      </w:pPr>
      <w:r>
        <w:rPr>
          <w:rFonts w:hint="eastAsia"/>
        </w:rPr>
        <w:t>采购单位：海南师范大学音乐学院。</w:t>
      </w:r>
    </w:p>
    <w:p w14:paraId="433B21C9">
      <w:pPr>
        <w:keepNext w:val="0"/>
        <w:keepLines w:val="0"/>
        <w:pageBreakBefore w:val="0"/>
        <w:widowControl w:val="0"/>
        <w:kinsoku/>
        <w:wordWrap/>
        <w:overflowPunct/>
        <w:topLinePunct w:val="0"/>
        <w:autoSpaceDE/>
        <w:autoSpaceDN/>
        <w:bidi w:val="0"/>
        <w:adjustRightInd/>
        <w:snapToGrid/>
        <w:spacing w:after="120" w:line="360" w:lineRule="auto"/>
        <w:ind w:firstLine="480" w:firstLineChars="200"/>
        <w:textAlignment w:val="auto"/>
        <w:rPr>
          <w:rFonts w:hint="eastAsia"/>
        </w:rPr>
      </w:pPr>
      <w:r>
        <w:rPr>
          <w:rFonts w:hint="eastAsia"/>
        </w:rPr>
        <w:t>项目背景</w:t>
      </w:r>
      <w:bookmarkStart w:id="12" w:name="_GoBack"/>
      <w:bookmarkEnd w:id="12"/>
      <w:r>
        <w:rPr>
          <w:rFonts w:hint="eastAsia"/>
        </w:rPr>
        <w:t>：因学校校区布局调整，音乐学院需从龙昆南校区整体搬迁至桂林洋校区音乐学院新教学大楼，同步完成学生人员转运以及学生个人行李转运至桂林洋校区学生公寓。本项目分3个分包类别：第一类为办公家具和学生行李搬迁服务；第二类为教学乐器搬运服务；第三类为学生人员运输服务。供应商可投报其中一个或多个分包。为保障搬迁工作安全、有序、高效实施，现面向社会公开遴选搬迁服务供应商。</w:t>
      </w:r>
    </w:p>
    <w:p w14:paraId="07919314">
      <w:pPr>
        <w:pStyle w:val="3"/>
        <w:bidi w:val="0"/>
        <w:rPr>
          <w:rFonts w:hint="eastAsia"/>
        </w:rPr>
      </w:pPr>
      <w:bookmarkStart w:id="1" w:name="heading_1"/>
      <w:r>
        <w:rPr>
          <w:rFonts w:hint="eastAsia"/>
          <w:sz w:val="28"/>
          <w:szCs w:val="28"/>
        </w:rPr>
        <w:t>二、采购需求</w:t>
      </w:r>
      <w:bookmarkEnd w:id="1"/>
    </w:p>
    <w:p w14:paraId="447BA5F2">
      <w:pPr>
        <w:pStyle w:val="4"/>
        <w:bidi w:val="0"/>
        <w:rPr>
          <w:rFonts w:hint="eastAsia"/>
        </w:rPr>
      </w:pPr>
      <w:bookmarkStart w:id="2" w:name="heading_2"/>
      <w:r>
        <w:rPr>
          <w:rFonts w:hint="eastAsia"/>
        </w:rPr>
        <w:t>（一）搬迁内容（分三类分包）</w:t>
      </w:r>
      <w:bookmarkEnd w:id="2"/>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567"/>
        <w:gridCol w:w="3889"/>
        <w:gridCol w:w="3063"/>
      </w:tblGrid>
      <w:tr w14:paraId="3F3F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6" w:hRule="atLeast"/>
        </w:trPr>
        <w:tc>
          <w:tcPr>
            <w:tcW w:w="1567" w:type="dxa"/>
            <w:shd w:val="clear" w:color="auto" w:fill="C7DAF1" w:themeFill="text2" w:themeFillTint="32"/>
            <w:tcMar>
              <w:top w:w="60" w:type="dxa"/>
              <w:left w:w="120" w:type="dxa"/>
              <w:bottom w:w="30" w:type="dxa"/>
              <w:right w:w="120" w:type="dxa"/>
            </w:tcMar>
          </w:tcPr>
          <w:p w14:paraId="71C43F0A">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类别分包</w:t>
            </w:r>
          </w:p>
        </w:tc>
        <w:tc>
          <w:tcPr>
            <w:tcW w:w="3889" w:type="dxa"/>
            <w:shd w:val="clear" w:color="auto" w:fill="C7DAF1" w:themeFill="text2" w:themeFillTint="32"/>
            <w:tcMar>
              <w:top w:w="60" w:type="dxa"/>
              <w:left w:w="120" w:type="dxa"/>
              <w:bottom w:w="30" w:type="dxa"/>
              <w:right w:w="120" w:type="dxa"/>
            </w:tcMar>
          </w:tcPr>
          <w:p w14:paraId="134A5AED">
            <w:pPr>
              <w:keepNext w:val="0"/>
              <w:keepLines w:val="0"/>
              <w:pageBreakBefore w:val="0"/>
              <w:widowControl w:val="0"/>
              <w:kinsoku/>
              <w:wordWrap/>
              <w:overflowPunct/>
              <w:topLinePunct w:val="0"/>
              <w:autoSpaceDE/>
              <w:autoSpaceDN/>
              <w:bidi w:val="0"/>
              <w:adjustRightInd/>
              <w:snapToGrid/>
              <w:spacing w:before="120" w:after="120" w:line="360" w:lineRule="auto"/>
              <w:ind w:left="0" w:firstLine="0" w:firstLineChars="0"/>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主要内容</w:t>
            </w:r>
          </w:p>
        </w:tc>
        <w:tc>
          <w:tcPr>
            <w:tcW w:w="3063" w:type="dxa"/>
            <w:shd w:val="clear" w:color="auto" w:fill="C7DAF1" w:themeFill="text2" w:themeFillTint="32"/>
            <w:tcMar>
              <w:top w:w="60" w:type="dxa"/>
              <w:left w:w="120" w:type="dxa"/>
              <w:bottom w:w="30" w:type="dxa"/>
              <w:right w:w="120" w:type="dxa"/>
            </w:tcMar>
          </w:tcPr>
          <w:p w14:paraId="62AFF816">
            <w:pPr>
              <w:keepNext w:val="0"/>
              <w:keepLines w:val="0"/>
              <w:pageBreakBefore w:val="0"/>
              <w:widowControl w:val="0"/>
              <w:kinsoku/>
              <w:wordWrap/>
              <w:overflowPunct/>
              <w:topLinePunct w:val="0"/>
              <w:autoSpaceDE/>
              <w:autoSpaceDN/>
              <w:bidi w:val="0"/>
              <w:adjustRightInd/>
              <w:snapToGrid/>
              <w:spacing w:before="120" w:after="120" w:line="360" w:lineRule="auto"/>
              <w:ind w:left="0" w:firstLine="0" w:firstLineChars="0"/>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备注</w:t>
            </w:r>
          </w:p>
        </w:tc>
      </w:tr>
      <w:tr w14:paraId="1F2F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02" w:hRule="atLeast"/>
        </w:trPr>
        <w:tc>
          <w:tcPr>
            <w:tcW w:w="1567" w:type="dxa"/>
            <w:tcMar>
              <w:top w:w="60" w:type="dxa"/>
              <w:left w:w="120" w:type="dxa"/>
              <w:bottom w:w="30" w:type="dxa"/>
              <w:right w:w="120" w:type="dxa"/>
            </w:tcMar>
          </w:tcPr>
          <w:p w14:paraId="40F3A253">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第一类：办公家具和学生行李搬迁服务</w:t>
            </w:r>
          </w:p>
        </w:tc>
        <w:tc>
          <w:tcPr>
            <w:tcW w:w="3889" w:type="dxa"/>
            <w:tcMar>
              <w:top w:w="60" w:type="dxa"/>
              <w:left w:w="120" w:type="dxa"/>
              <w:bottom w:w="30" w:type="dxa"/>
              <w:right w:w="120" w:type="dxa"/>
            </w:tcMar>
          </w:tcPr>
          <w:p w14:paraId="02776727">
            <w:pPr>
              <w:keepNext w:val="0"/>
              <w:keepLines w:val="0"/>
              <w:pageBreakBefore w:val="0"/>
              <w:widowControl w:val="0"/>
              <w:kinsoku/>
              <w:wordWrap/>
              <w:overflowPunct/>
              <w:topLinePunct w:val="0"/>
              <w:autoSpaceDE/>
              <w:autoSpaceDN/>
              <w:bidi w:val="0"/>
              <w:adjustRightInd/>
              <w:snapToGrid/>
              <w:spacing w:before="120" w:after="120" w:line="360" w:lineRule="auto"/>
              <w:ind w:left="0" w:firstLine="0" w:firstLineChars="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各类办公用品、</w:t>
            </w:r>
            <w:r>
              <w:rPr>
                <w:rFonts w:hint="eastAsia" w:ascii="仿宋" w:hAnsi="仿宋" w:eastAsia="仿宋" w:cs="仿宋"/>
                <w:color w:val="auto"/>
                <w:sz w:val="24"/>
                <w:szCs w:val="24"/>
              </w:rPr>
              <w:t>办公桌、办公椅、文件柜、会议桌椅、书架</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合唱台、舞台道具、学生行李。</w:t>
            </w:r>
          </w:p>
        </w:tc>
        <w:tc>
          <w:tcPr>
            <w:tcW w:w="3063" w:type="dxa"/>
            <w:tcMar>
              <w:top w:w="60" w:type="dxa"/>
              <w:left w:w="120" w:type="dxa"/>
              <w:bottom w:w="30" w:type="dxa"/>
              <w:right w:w="120" w:type="dxa"/>
            </w:tcMar>
          </w:tcPr>
          <w:p w14:paraId="1F6046A0">
            <w:pPr>
              <w:keepNext w:val="0"/>
              <w:keepLines w:val="0"/>
              <w:pageBreakBefore w:val="0"/>
              <w:widowControl w:val="0"/>
              <w:kinsoku/>
              <w:wordWrap/>
              <w:overflowPunct/>
              <w:topLinePunct w:val="0"/>
              <w:autoSpaceDE/>
              <w:autoSpaceDN/>
              <w:bidi w:val="0"/>
              <w:adjustRightInd/>
              <w:snapToGrid/>
              <w:spacing w:before="120" w:after="120" w:line="360" w:lineRule="auto"/>
              <w:ind w:left="0" w:firstLine="0" w:firstLineChars="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办公家具含拆装、搬运、就位；学生行李含行李装卸、运输、公寓楼下分拣卸货，</w:t>
            </w:r>
            <w:r>
              <w:rPr>
                <w:rFonts w:hint="eastAsia" w:ascii="仿宋" w:hAnsi="仿宋" w:eastAsia="仿宋" w:cs="仿宋"/>
                <w:color w:val="auto"/>
                <w:sz w:val="24"/>
                <w:szCs w:val="24"/>
                <w:lang w:val="en-US" w:eastAsia="zh-CN"/>
              </w:rPr>
              <w:t>协助学生</w:t>
            </w:r>
            <w:r>
              <w:rPr>
                <w:rFonts w:hint="eastAsia" w:ascii="仿宋" w:hAnsi="仿宋" w:eastAsia="仿宋" w:cs="仿宋"/>
                <w:color w:val="auto"/>
                <w:sz w:val="24"/>
                <w:szCs w:val="24"/>
              </w:rPr>
              <w:t>搬运</w:t>
            </w:r>
            <w:r>
              <w:rPr>
                <w:rFonts w:hint="eastAsia" w:ascii="仿宋" w:hAnsi="仿宋" w:eastAsia="仿宋" w:cs="仿宋"/>
                <w:color w:val="auto"/>
                <w:sz w:val="24"/>
                <w:szCs w:val="24"/>
                <w:lang w:val="en-US" w:eastAsia="zh-CN"/>
              </w:rPr>
              <w:t>进宿舍</w:t>
            </w:r>
          </w:p>
        </w:tc>
      </w:tr>
      <w:tr w14:paraId="2B94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48" w:hRule="atLeast"/>
        </w:trPr>
        <w:tc>
          <w:tcPr>
            <w:tcW w:w="1567" w:type="dxa"/>
            <w:tcMar>
              <w:top w:w="60" w:type="dxa"/>
              <w:left w:w="120" w:type="dxa"/>
              <w:bottom w:w="30" w:type="dxa"/>
              <w:right w:w="120" w:type="dxa"/>
            </w:tcMar>
          </w:tcPr>
          <w:p w14:paraId="271EED27">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第二类：教学乐器搬运服务</w:t>
            </w:r>
          </w:p>
        </w:tc>
        <w:tc>
          <w:tcPr>
            <w:tcW w:w="3889" w:type="dxa"/>
            <w:tcMar>
              <w:top w:w="60" w:type="dxa"/>
              <w:left w:w="120" w:type="dxa"/>
              <w:bottom w:w="30" w:type="dxa"/>
              <w:right w:w="120" w:type="dxa"/>
            </w:tcMar>
          </w:tcPr>
          <w:p w14:paraId="19E2D141">
            <w:pPr>
              <w:keepNext w:val="0"/>
              <w:keepLines w:val="0"/>
              <w:pageBreakBefore w:val="0"/>
              <w:widowControl w:val="0"/>
              <w:kinsoku/>
              <w:wordWrap/>
              <w:overflowPunct/>
              <w:topLinePunct w:val="0"/>
              <w:autoSpaceDE/>
              <w:autoSpaceDN/>
              <w:bidi w:val="0"/>
              <w:adjustRightInd/>
              <w:snapToGrid/>
              <w:spacing w:before="120" w:after="120" w:line="360" w:lineRule="auto"/>
              <w:ind w:left="0" w:firstLine="0" w:firstLineChars="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交响乐团乐器、民乐团乐器、钢琴及琴凳</w:t>
            </w:r>
          </w:p>
        </w:tc>
        <w:tc>
          <w:tcPr>
            <w:tcW w:w="3063" w:type="dxa"/>
            <w:tcMar>
              <w:top w:w="60" w:type="dxa"/>
              <w:left w:w="120" w:type="dxa"/>
              <w:bottom w:w="30" w:type="dxa"/>
              <w:right w:w="120" w:type="dxa"/>
            </w:tcMar>
          </w:tcPr>
          <w:p w14:paraId="6709F7CD">
            <w:pPr>
              <w:keepNext w:val="0"/>
              <w:keepLines w:val="0"/>
              <w:pageBreakBefore w:val="0"/>
              <w:widowControl w:val="0"/>
              <w:kinsoku/>
              <w:wordWrap/>
              <w:overflowPunct/>
              <w:topLinePunct w:val="0"/>
              <w:autoSpaceDE/>
              <w:autoSpaceDN/>
              <w:bidi w:val="0"/>
              <w:adjustRightInd/>
              <w:snapToGrid/>
              <w:spacing w:before="120" w:after="120" w:line="360" w:lineRule="auto"/>
              <w:ind w:left="0" w:firstLine="0" w:firstLineChars="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含专业拆卸、包装、运输、就位、配合调试；钢琴等大件乐器需专业搬运作业</w:t>
            </w:r>
          </w:p>
        </w:tc>
      </w:tr>
      <w:tr w14:paraId="789F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86" w:hRule="atLeast"/>
        </w:trPr>
        <w:tc>
          <w:tcPr>
            <w:tcW w:w="1567" w:type="dxa"/>
            <w:tcMar>
              <w:top w:w="60" w:type="dxa"/>
              <w:left w:w="120" w:type="dxa"/>
              <w:bottom w:w="30" w:type="dxa"/>
              <w:right w:w="120" w:type="dxa"/>
            </w:tcMar>
          </w:tcPr>
          <w:p w14:paraId="68667A50">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第三类：学生人员运输服务</w:t>
            </w:r>
          </w:p>
        </w:tc>
        <w:tc>
          <w:tcPr>
            <w:tcW w:w="3889" w:type="dxa"/>
            <w:tcMar>
              <w:top w:w="60" w:type="dxa"/>
              <w:left w:w="120" w:type="dxa"/>
              <w:bottom w:w="30" w:type="dxa"/>
              <w:right w:w="120" w:type="dxa"/>
            </w:tcMar>
          </w:tcPr>
          <w:p w14:paraId="6D4AEE45">
            <w:pPr>
              <w:keepNext w:val="0"/>
              <w:keepLines w:val="0"/>
              <w:pageBreakBefore w:val="0"/>
              <w:widowControl w:val="0"/>
              <w:kinsoku/>
              <w:wordWrap/>
              <w:overflowPunct/>
              <w:topLinePunct w:val="0"/>
              <w:autoSpaceDE/>
              <w:autoSpaceDN/>
              <w:bidi w:val="0"/>
              <w:adjustRightInd/>
              <w:snapToGrid/>
              <w:spacing w:before="120" w:after="120" w:line="360" w:lineRule="auto"/>
              <w:ind w:left="0" w:firstLine="0" w:firstLineChars="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学生人员从龙昆南校区安全转运至桂林洋校区宿舍楼下</w:t>
            </w:r>
          </w:p>
        </w:tc>
        <w:tc>
          <w:tcPr>
            <w:tcW w:w="3063" w:type="dxa"/>
            <w:tcMar>
              <w:top w:w="60" w:type="dxa"/>
              <w:left w:w="120" w:type="dxa"/>
              <w:bottom w:w="30" w:type="dxa"/>
              <w:right w:w="120" w:type="dxa"/>
            </w:tcMar>
          </w:tcPr>
          <w:p w14:paraId="6C5347E0">
            <w:pPr>
              <w:keepNext w:val="0"/>
              <w:keepLines w:val="0"/>
              <w:pageBreakBefore w:val="0"/>
              <w:widowControl w:val="0"/>
              <w:kinsoku/>
              <w:wordWrap/>
              <w:overflowPunct/>
              <w:topLinePunct w:val="0"/>
              <w:autoSpaceDE/>
              <w:autoSpaceDN/>
              <w:bidi w:val="0"/>
              <w:adjustRightInd/>
              <w:snapToGrid/>
              <w:spacing w:before="120" w:after="120" w:line="360" w:lineRule="auto"/>
              <w:ind w:left="0" w:firstLine="0" w:firstLineChars="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负责龙昆南校区至桂林洋校区学生人员客运接送，提供</w:t>
            </w:r>
            <w:r>
              <w:rPr>
                <w:rFonts w:hint="eastAsia" w:ascii="仿宋" w:hAnsi="仿宋" w:eastAsia="仿宋" w:cs="仿宋"/>
                <w:color w:val="auto"/>
                <w:sz w:val="24"/>
                <w:szCs w:val="24"/>
                <w:lang w:val="en-US" w:eastAsia="zh-CN"/>
              </w:rPr>
              <w:t>合法</w:t>
            </w:r>
            <w:r>
              <w:rPr>
                <w:rFonts w:hint="eastAsia" w:ascii="仿宋" w:hAnsi="仿宋" w:eastAsia="仿宋" w:cs="仿宋"/>
                <w:color w:val="auto"/>
                <w:sz w:val="24"/>
                <w:szCs w:val="24"/>
              </w:rPr>
              <w:t>合规客运车辆</w:t>
            </w:r>
          </w:p>
        </w:tc>
      </w:tr>
    </w:tbl>
    <w:p w14:paraId="118BBCCA">
      <w:pPr>
        <w:pStyle w:val="4"/>
        <w:keepNext/>
        <w:keepLines/>
        <w:pageBreakBefore w:val="0"/>
        <w:widowControl w:val="0"/>
        <w:kinsoku/>
        <w:wordWrap/>
        <w:overflowPunct/>
        <w:topLinePunct w:val="0"/>
        <w:autoSpaceDE/>
        <w:autoSpaceDN/>
        <w:bidi w:val="0"/>
        <w:adjustRightInd/>
        <w:snapToGrid/>
        <w:textAlignment w:val="auto"/>
        <w:rPr>
          <w:rFonts w:hint="eastAsia"/>
        </w:rPr>
      </w:pPr>
      <w:bookmarkStart w:id="3" w:name="heading_3"/>
      <w:r>
        <w:rPr>
          <w:rFonts w:hint="eastAsia"/>
        </w:rPr>
        <w:t>（二）服务通用要求</w:t>
      </w:r>
      <w:bookmarkEnd w:id="3"/>
    </w:p>
    <w:p w14:paraId="6D9FAF24">
      <w:pPr>
        <w:pStyle w:val="8"/>
        <w:keepNext w:val="0"/>
        <w:keepLines w:val="0"/>
        <w:pageBreakBefore w:val="0"/>
        <w:widowControl/>
        <w:numPr>
          <w:ilvl w:val="0"/>
          <w:numId w:val="0"/>
        </w:numPr>
        <w:kinsoku/>
        <w:wordWrap/>
        <w:overflowPunct/>
        <w:topLinePunct w:val="0"/>
        <w:autoSpaceDE/>
        <w:autoSpaceDN/>
        <w:bidi w:val="0"/>
        <w:adjustRightInd/>
        <w:snapToGrid/>
        <w:spacing w:before="0" w:after="12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rPr>
        <w:t>搬迁时间：具体时间以采购单位通知为准，预计在合同签订后</w:t>
      </w:r>
      <w:r>
        <w:rPr>
          <w:rFonts w:hint="eastAsia" w:ascii="仿宋" w:hAnsi="仿宋" w:eastAsia="仿宋" w:cs="仿宋"/>
          <w:sz w:val="24"/>
          <w:szCs w:val="24"/>
          <w:lang w:val="en-US" w:eastAsia="zh-CN"/>
        </w:rPr>
        <w:t>3</w:t>
      </w:r>
      <w:r>
        <w:rPr>
          <w:rFonts w:hint="eastAsia" w:ascii="仿宋" w:hAnsi="仿宋" w:eastAsia="仿宋" w:cs="仿宋"/>
          <w:sz w:val="24"/>
          <w:szCs w:val="24"/>
        </w:rPr>
        <w:t>个日历日内完成全部搬迁工作。</w:t>
      </w:r>
    </w:p>
    <w:p w14:paraId="45429958">
      <w:pPr>
        <w:pStyle w:val="8"/>
        <w:keepNext w:val="0"/>
        <w:keepLines w:val="0"/>
        <w:pageBreakBefore w:val="0"/>
        <w:widowControl/>
        <w:numPr>
          <w:ilvl w:val="0"/>
          <w:numId w:val="0"/>
        </w:numPr>
        <w:kinsoku/>
        <w:wordWrap/>
        <w:overflowPunct/>
        <w:topLinePunct w:val="0"/>
        <w:autoSpaceDE/>
        <w:autoSpaceDN/>
        <w:bidi w:val="0"/>
        <w:adjustRightInd/>
        <w:snapToGrid/>
        <w:spacing w:before="0" w:after="12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rPr>
        <w:t>搬迁起点：海南师范大学龙昆南校区音乐学院（教学楼实训室、办公室、学生宿舍）。</w:t>
      </w:r>
    </w:p>
    <w:p w14:paraId="12A1EC1F">
      <w:pPr>
        <w:pStyle w:val="8"/>
        <w:keepNext w:val="0"/>
        <w:keepLines w:val="0"/>
        <w:pageBreakBefore w:val="0"/>
        <w:widowControl/>
        <w:numPr>
          <w:ilvl w:val="0"/>
          <w:numId w:val="0"/>
        </w:numPr>
        <w:kinsoku/>
        <w:wordWrap/>
        <w:overflowPunct/>
        <w:topLinePunct w:val="0"/>
        <w:autoSpaceDE/>
        <w:autoSpaceDN/>
        <w:bidi w:val="0"/>
        <w:adjustRightInd/>
        <w:snapToGrid/>
        <w:spacing w:before="0" w:after="12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rPr>
        <w:t>搬迁终点：①海南师范大学桂林洋校区音乐学院新教学大楼；②桂林洋校区</w:t>
      </w:r>
      <w:r>
        <w:rPr>
          <w:rFonts w:hint="eastAsia" w:ascii="仿宋" w:hAnsi="仿宋" w:eastAsia="仿宋" w:cs="仿宋"/>
          <w:sz w:val="24"/>
          <w:szCs w:val="24"/>
          <w:lang w:val="en-US" w:eastAsia="zh-CN"/>
        </w:rPr>
        <w:t>女生</w:t>
      </w:r>
      <w:r>
        <w:rPr>
          <w:rFonts w:hint="eastAsia" w:ascii="仿宋" w:hAnsi="仿宋" w:eastAsia="仿宋" w:cs="仿宋"/>
          <w:sz w:val="24"/>
          <w:szCs w:val="24"/>
        </w:rPr>
        <w:t>26栋</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男生9栋</w:t>
      </w:r>
      <w:r>
        <w:rPr>
          <w:rFonts w:hint="eastAsia" w:ascii="仿宋" w:hAnsi="仿宋" w:eastAsia="仿宋" w:cs="仿宋"/>
          <w:sz w:val="24"/>
          <w:szCs w:val="24"/>
        </w:rPr>
        <w:t>学生公寓（学生行李、学生人员）。</w:t>
      </w:r>
    </w:p>
    <w:p w14:paraId="55F16402">
      <w:pPr>
        <w:pStyle w:val="8"/>
        <w:keepNext w:val="0"/>
        <w:keepLines w:val="0"/>
        <w:pageBreakBefore w:val="0"/>
        <w:widowControl/>
        <w:numPr>
          <w:ilvl w:val="0"/>
          <w:numId w:val="0"/>
        </w:numPr>
        <w:kinsoku/>
        <w:wordWrap/>
        <w:overflowPunct/>
        <w:topLinePunct w:val="0"/>
        <w:autoSpaceDE/>
        <w:autoSpaceDN/>
        <w:bidi w:val="0"/>
        <w:adjustRightInd/>
        <w:snapToGrid/>
        <w:spacing w:before="0" w:after="12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rPr>
        <w:t>搬迁全过程须确保所有物品无丢失、无损毁，贵重乐器、精密设备、学生行李重点防护；学生人员转运须选用合规客运车辆，保障乘车安全。</w:t>
      </w:r>
    </w:p>
    <w:p w14:paraId="02287886">
      <w:pPr>
        <w:pStyle w:val="8"/>
        <w:keepNext w:val="0"/>
        <w:keepLines w:val="0"/>
        <w:pageBreakBefore w:val="0"/>
        <w:widowControl/>
        <w:numPr>
          <w:ilvl w:val="0"/>
          <w:numId w:val="0"/>
        </w:numPr>
        <w:kinsoku/>
        <w:wordWrap/>
        <w:overflowPunct/>
        <w:topLinePunct w:val="0"/>
        <w:autoSpaceDE/>
        <w:autoSpaceDN/>
        <w:bidi w:val="0"/>
        <w:adjustRightInd/>
        <w:snapToGrid/>
        <w:spacing w:before="0" w:after="12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rPr>
        <w:t>第二类教学乐器搬运分包，须安排具备乐器搬运相关经验专业人员操作，落实防震、防潮、防磕碰专业防护措施；钢琴等大件乐器严格按照乐器搬运规范实施。</w:t>
      </w:r>
    </w:p>
    <w:p w14:paraId="00B12BB9">
      <w:pPr>
        <w:pStyle w:val="8"/>
        <w:keepNext w:val="0"/>
        <w:keepLines w:val="0"/>
        <w:pageBreakBefore w:val="0"/>
        <w:widowControl/>
        <w:numPr>
          <w:ilvl w:val="0"/>
          <w:numId w:val="0"/>
        </w:numPr>
        <w:kinsoku/>
        <w:wordWrap/>
        <w:overflowPunct/>
        <w:topLinePunct w:val="0"/>
        <w:autoSpaceDE/>
        <w:autoSpaceDN/>
        <w:bidi w:val="0"/>
        <w:adjustRightInd/>
        <w:snapToGrid/>
        <w:spacing w:before="0" w:after="12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rPr>
        <w:t>搬迁前后对全部物资开展清点登记，形成物资清单，供需双方现场签字确认；学生行李按班级分区装卸转运；学生人员按批次有序接送。</w:t>
      </w:r>
    </w:p>
    <w:p w14:paraId="22A00ECF">
      <w:pPr>
        <w:pStyle w:val="8"/>
        <w:keepNext w:val="0"/>
        <w:keepLines w:val="0"/>
        <w:pageBreakBefore w:val="0"/>
        <w:widowControl/>
        <w:numPr>
          <w:ilvl w:val="0"/>
          <w:numId w:val="0"/>
        </w:numPr>
        <w:kinsoku/>
        <w:wordWrap/>
        <w:overflowPunct/>
        <w:topLinePunct w:val="0"/>
        <w:autoSpaceDE/>
        <w:autoSpaceDN/>
        <w:bidi w:val="0"/>
        <w:adjustRightInd/>
        <w:snapToGrid/>
        <w:spacing w:before="0" w:after="12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w:t>
      </w:r>
      <w:r>
        <w:rPr>
          <w:rFonts w:hint="eastAsia" w:ascii="仿宋" w:hAnsi="仿宋" w:eastAsia="仿宋" w:cs="仿宋"/>
          <w:sz w:val="24"/>
          <w:szCs w:val="24"/>
        </w:rPr>
        <w:t>搬迁完成后：第一类分包完成办公家具就位、学生行李运送至公寓楼下分拣区卸货</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并协助学生搬迁至宿舍，并将旧楼和新楼搬迁卫生全部清理干净；</w:t>
      </w:r>
      <w:r>
        <w:rPr>
          <w:rFonts w:hint="eastAsia" w:ascii="仿宋" w:hAnsi="仿宋" w:eastAsia="仿宋" w:cs="仿宋"/>
          <w:sz w:val="24"/>
          <w:szCs w:val="24"/>
        </w:rPr>
        <w:t>第二类分包完成乐器设备就位、复位，配合完成设备调试；第三类分包保障学生人员安全送达桂林洋学生公寓指定区域下车。</w:t>
      </w:r>
    </w:p>
    <w:p w14:paraId="7FAB4A09">
      <w:pPr>
        <w:pStyle w:val="3"/>
        <w:bidi w:val="0"/>
        <w:rPr>
          <w:rFonts w:hint="eastAsia"/>
        </w:rPr>
      </w:pPr>
      <w:bookmarkStart w:id="4" w:name="heading_4"/>
      <w:r>
        <w:rPr>
          <w:rFonts w:hint="eastAsia"/>
        </w:rPr>
        <w:t>三、供应商资格要求</w:t>
      </w:r>
      <w:bookmarkEnd w:id="4"/>
    </w:p>
    <w:p w14:paraId="6B86F60E">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left="0" w:lef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1.具有独立承担民事责任能力的法人或其他组织，提供有效的营业执照（复印件加盖公章）；</w:t>
      </w:r>
    </w:p>
    <w:p w14:paraId="1919A8D3">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left="0" w:lef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2.具有良好的商业信誉和健全的财务会计制度；</w:t>
      </w:r>
    </w:p>
    <w:p w14:paraId="7915F9F7">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left="0" w:lef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3.具有依法缴纳税收和社会保障资金的良好记录；</w:t>
      </w:r>
    </w:p>
    <w:p w14:paraId="593AF315">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left="0" w:lef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4.业绩及专项资质要求：</w:t>
      </w:r>
    </w:p>
    <w:p w14:paraId="631CEF50">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投报第一类分包（办公家具和学生行李搬迁）：具备搬迁服务相关经营范围，近三年内具有办公物资或大批量学生行李搬迁项目业绩（需提供合同复印件等证明材料）；</w:t>
      </w:r>
    </w:p>
    <w:p w14:paraId="01523388">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投报第二类分包（教学乐器搬运）：具备搬迁服务相关经营范围，近三年内具有钢琴、乐器类搬迁项目业绩（需提供合同复印件等证明材料）；</w:t>
      </w:r>
    </w:p>
    <w:p w14:paraId="19C6F9B6">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sz w:val="24"/>
          <w:szCs w:val="24"/>
        </w:rPr>
        <w:t>投报第三类分包（学生人员运输）：须具备道路旅客运输经营资质，近三年内有集体人员客运转运相关业绩（需提供合同复印件等证明材料）；</w:t>
      </w:r>
    </w:p>
    <w:p w14:paraId="219A7FEA">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left="0" w:lef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5.参加本次采购活动前三年内，在经营活动中没有重大违法记录；</w:t>
      </w:r>
    </w:p>
    <w:p w14:paraId="02D4B562">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left="0" w:lef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6.本项目不接受联合体投标。</w:t>
      </w:r>
    </w:p>
    <w:p w14:paraId="66436587">
      <w:pPr>
        <w:pStyle w:val="3"/>
        <w:bidi w:val="0"/>
        <w:rPr>
          <w:rFonts w:hint="eastAsia"/>
        </w:rPr>
      </w:pPr>
      <w:bookmarkStart w:id="5" w:name="heading_5"/>
      <w:r>
        <w:rPr>
          <w:rFonts w:hint="eastAsia"/>
        </w:rPr>
        <w:t>四、评审办法</w:t>
      </w:r>
      <w:bookmarkEnd w:id="5"/>
    </w:p>
    <w:p w14:paraId="2398D89E">
      <w:pPr>
        <w:keepNext w:val="0"/>
        <w:keepLines w:val="0"/>
        <w:pageBreakBefore w:val="0"/>
        <w:widowControl w:val="0"/>
        <w:kinsoku/>
        <w:wordWrap/>
        <w:overflowPunct/>
        <w:topLinePunct w:val="0"/>
        <w:autoSpaceDE/>
        <w:autoSpaceDN/>
        <w:bidi w:val="0"/>
        <w:adjustRightInd/>
        <w:snapToGrid/>
        <w:spacing w:before="0" w:after="120" w:line="360" w:lineRule="auto"/>
        <w:ind w:firstLine="480" w:firstLineChars="200"/>
        <w:jc w:val="both"/>
        <w:textAlignment w:val="auto"/>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本项目采用最低评标价法进行评审，各分包分别独立评审，评审因素包括但不限于：</w:t>
      </w:r>
    </w:p>
    <w:p w14:paraId="4CE6186F">
      <w:pPr>
        <w:keepNext w:val="0"/>
        <w:keepLines w:val="0"/>
        <w:pageBreakBefore w:val="0"/>
        <w:widowControl w:val="0"/>
        <w:kinsoku/>
        <w:wordWrap/>
        <w:overflowPunct/>
        <w:topLinePunct w:val="0"/>
        <w:autoSpaceDE/>
        <w:autoSpaceDN/>
        <w:bidi w:val="0"/>
        <w:adjustRightInd/>
        <w:snapToGrid/>
        <w:spacing w:before="0" w:after="120" w:line="360" w:lineRule="auto"/>
        <w:ind w:firstLine="480" w:firstLineChars="200"/>
        <w:jc w:val="both"/>
        <w:textAlignment w:val="auto"/>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（1）对应分包报价；</w:t>
      </w:r>
    </w:p>
    <w:p w14:paraId="4C1332FD">
      <w:pPr>
        <w:keepNext w:val="0"/>
        <w:keepLines w:val="0"/>
        <w:pageBreakBefore w:val="0"/>
        <w:widowControl w:val="0"/>
        <w:kinsoku/>
        <w:wordWrap/>
        <w:overflowPunct/>
        <w:topLinePunct w:val="0"/>
        <w:autoSpaceDE/>
        <w:autoSpaceDN/>
        <w:bidi w:val="0"/>
        <w:adjustRightInd/>
        <w:snapToGrid/>
        <w:spacing w:before="0" w:after="120" w:line="360" w:lineRule="auto"/>
        <w:ind w:firstLine="480" w:firstLineChars="200"/>
        <w:jc w:val="both"/>
        <w:textAlignment w:val="auto"/>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（2）企业资质与对应分包类似项目业绩；</w:t>
      </w:r>
    </w:p>
    <w:p w14:paraId="1499A5D3">
      <w:pPr>
        <w:keepNext w:val="0"/>
        <w:keepLines w:val="0"/>
        <w:pageBreakBefore w:val="0"/>
        <w:widowControl w:val="0"/>
        <w:kinsoku/>
        <w:wordWrap/>
        <w:overflowPunct/>
        <w:topLinePunct w:val="0"/>
        <w:autoSpaceDE/>
        <w:autoSpaceDN/>
        <w:bidi w:val="0"/>
        <w:adjustRightInd/>
        <w:snapToGrid/>
        <w:spacing w:before="0" w:after="120" w:line="360" w:lineRule="auto"/>
        <w:ind w:firstLine="480" w:firstLineChars="200"/>
        <w:jc w:val="both"/>
        <w:textAlignment w:val="auto"/>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（3）搬迁方案的科学性与可行性，根据所投分包分别评审：办公家具及行李搬迁组织方案</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贵重乐器防护搬运方案</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学生人员接送客运组织方案</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含安全保障措施、应急预案、人员车辆配备等</w:t>
      </w:r>
      <w:r>
        <w:rPr>
          <w:rFonts w:hint="eastAsia" w:ascii="仿宋" w:hAnsi="仿宋" w:eastAsia="仿宋" w:cs="仿宋"/>
          <w:b w:val="0"/>
          <w:bCs w:val="0"/>
          <w:sz w:val="24"/>
          <w:szCs w:val="24"/>
          <w:lang w:eastAsia="zh-CN"/>
        </w:rPr>
        <w:t>。</w:t>
      </w:r>
    </w:p>
    <w:p w14:paraId="3EEF8238">
      <w:pPr>
        <w:keepNext w:val="0"/>
        <w:keepLines w:val="0"/>
        <w:pageBreakBefore w:val="0"/>
        <w:widowControl w:val="0"/>
        <w:kinsoku/>
        <w:wordWrap/>
        <w:overflowPunct/>
        <w:topLinePunct w:val="0"/>
        <w:autoSpaceDE/>
        <w:autoSpaceDN/>
        <w:bidi w:val="0"/>
        <w:adjustRightInd/>
        <w:snapToGrid/>
        <w:spacing w:before="0" w:after="120" w:line="360" w:lineRule="auto"/>
        <w:ind w:firstLine="480" w:firstLineChars="200"/>
        <w:jc w:val="both"/>
        <w:textAlignment w:val="auto"/>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（4）售后服务及损坏赔付承诺；</w:t>
      </w:r>
    </w:p>
    <w:p w14:paraId="3B319A2D">
      <w:pPr>
        <w:keepNext w:val="0"/>
        <w:keepLines w:val="0"/>
        <w:pageBreakBefore w:val="0"/>
        <w:widowControl w:val="0"/>
        <w:kinsoku/>
        <w:wordWrap/>
        <w:overflowPunct/>
        <w:topLinePunct w:val="0"/>
        <w:autoSpaceDE/>
        <w:autoSpaceDN/>
        <w:bidi w:val="0"/>
        <w:adjustRightInd/>
        <w:snapToGrid/>
        <w:spacing w:before="0" w:after="120" w:line="360" w:lineRule="auto"/>
        <w:ind w:firstLine="480" w:firstLineChars="20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（5）工期承诺。</w:t>
      </w:r>
    </w:p>
    <w:p w14:paraId="6E06C668">
      <w:pPr>
        <w:pStyle w:val="3"/>
        <w:bidi w:val="0"/>
        <w:rPr>
          <w:rFonts w:hint="eastAsia"/>
        </w:rPr>
      </w:pPr>
      <w:bookmarkStart w:id="6" w:name="heading_6"/>
      <w:r>
        <w:rPr>
          <w:rFonts w:hint="eastAsia"/>
        </w:rPr>
        <w:t>五、报名及响应文件提交</w:t>
      </w:r>
      <w:bookmarkEnd w:id="6"/>
      <w:bookmarkStart w:id="7" w:name="heading_7"/>
    </w:p>
    <w:p w14:paraId="483295CD">
      <w:pPr>
        <w:pStyle w:val="4"/>
        <w:bidi w:val="0"/>
        <w:rPr>
          <w:rFonts w:hint="eastAsia"/>
        </w:rPr>
      </w:pPr>
      <w:r>
        <w:rPr>
          <w:rFonts w:hint="eastAsia"/>
        </w:rPr>
        <w:t>（一）报名时间</w:t>
      </w:r>
      <w:bookmarkEnd w:id="7"/>
    </w:p>
    <w:p w14:paraId="604012FE">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both"/>
        <w:textAlignment w:val="auto"/>
        <w:rPr>
          <w:rFonts w:hint="eastAsia" w:ascii="仿宋" w:hAnsi="仿宋" w:eastAsia="仿宋" w:cs="仿宋"/>
          <w:b/>
          <w:bCs/>
          <w:sz w:val="24"/>
          <w:szCs w:val="24"/>
        </w:rPr>
      </w:pPr>
      <w:r>
        <w:rPr>
          <w:rFonts w:hint="eastAsia" w:ascii="仿宋" w:hAnsi="仿宋" w:eastAsia="仿宋" w:cs="仿宋"/>
          <w:b w:val="0"/>
          <w:bCs w:val="0"/>
          <w:sz w:val="24"/>
          <w:szCs w:val="24"/>
        </w:rPr>
        <w:t>自本公告发布之日起至</w:t>
      </w:r>
      <w:r>
        <w:rPr>
          <w:rFonts w:hint="eastAsia" w:ascii="仿宋" w:hAnsi="仿宋" w:eastAsia="仿宋" w:cs="仿宋"/>
          <w:b w:val="0"/>
          <w:bCs w:val="0"/>
          <w:sz w:val="24"/>
          <w:szCs w:val="24"/>
          <w:lang w:val="en-US" w:eastAsia="zh-CN"/>
        </w:rPr>
        <w:t>2026年8月22日</w:t>
      </w:r>
      <w:r>
        <w:rPr>
          <w:rFonts w:hint="eastAsia" w:ascii="仿宋" w:hAnsi="仿宋" w:eastAsia="仿宋" w:cs="仿宋"/>
          <w:b w:val="0"/>
          <w:bCs w:val="0"/>
          <w:sz w:val="24"/>
          <w:szCs w:val="24"/>
        </w:rPr>
        <w:t>。</w:t>
      </w:r>
      <w:bookmarkStart w:id="8" w:name="heading_8"/>
    </w:p>
    <w:p w14:paraId="4B15FEE8">
      <w:pPr>
        <w:pStyle w:val="4"/>
        <w:bidi w:val="0"/>
        <w:rPr>
          <w:rFonts w:hint="eastAsia"/>
        </w:rPr>
      </w:pPr>
      <w:r>
        <w:rPr>
          <w:rFonts w:hint="eastAsia"/>
        </w:rPr>
        <w:t>（二）报名方式</w:t>
      </w:r>
      <w:bookmarkEnd w:id="8"/>
    </w:p>
    <w:p w14:paraId="161D8B1F">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供应商可通过以下方式获取采购文件并报名，报名时需注明拟投报的分包类别：</w:t>
      </w:r>
    </w:p>
    <w:p w14:paraId="4B2719A9">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1.现场报名：携带营业执照复印件（加盖公章）、对应分包所需资质证书复印件（加盖公章）、法定代表人授权委托书原件及被委托人身份证复印件，至海南师范大学音乐学院办公室。</w:t>
      </w:r>
    </w:p>
    <w:p w14:paraId="4844C342">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2.线上报名：将上述材料扫描件发送至指定邮箱，邮件主题注明"搬迁服务采购报名+公司名称+投报分包类别"。</w:t>
      </w:r>
      <w:bookmarkStart w:id="9" w:name="heading_9"/>
    </w:p>
    <w:p w14:paraId="71F42A91">
      <w:pPr>
        <w:pStyle w:val="4"/>
        <w:bidi w:val="0"/>
        <w:rPr>
          <w:rFonts w:hint="eastAsia"/>
        </w:rPr>
      </w:pPr>
      <w:r>
        <w:rPr>
          <w:rFonts w:hint="eastAsia"/>
        </w:rPr>
        <w:t>（三）响应文件提交</w:t>
      </w:r>
      <w:bookmarkEnd w:id="9"/>
    </w:p>
    <w:p w14:paraId="2C046F08">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both"/>
        <w:textAlignment w:val="auto"/>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提交截止时间：</w:t>
      </w:r>
      <w:r>
        <w:rPr>
          <w:rFonts w:hint="eastAsia" w:ascii="仿宋" w:hAnsi="仿宋" w:eastAsia="仿宋" w:cs="仿宋"/>
          <w:b w:val="0"/>
          <w:bCs w:val="0"/>
          <w:sz w:val="24"/>
          <w:szCs w:val="24"/>
          <w:lang w:val="en-US" w:eastAsia="zh-CN"/>
        </w:rPr>
        <w:t>2026年8月22日</w:t>
      </w:r>
      <w:r>
        <w:rPr>
          <w:rFonts w:hint="eastAsia" w:ascii="仿宋" w:hAnsi="仿宋" w:eastAsia="仿宋" w:cs="仿宋"/>
          <w:b w:val="0"/>
          <w:bCs w:val="0"/>
          <w:sz w:val="24"/>
          <w:szCs w:val="24"/>
        </w:rPr>
        <w:t>18：00。</w:t>
      </w:r>
    </w:p>
    <w:p w14:paraId="1C148C16">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both"/>
        <w:textAlignment w:val="auto"/>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提交地点：海南师范大学音乐学院办公室。</w:t>
      </w:r>
    </w:p>
    <w:p w14:paraId="3E2D888F">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逾期送达或未按要求密封的响应文件，恕不接受。响应文件须按分包分别编制或清晰标注所投分包。</w:t>
      </w:r>
    </w:p>
    <w:p w14:paraId="7046E932">
      <w:pPr>
        <w:pStyle w:val="3"/>
        <w:bidi w:val="0"/>
        <w:rPr>
          <w:rFonts w:hint="eastAsia"/>
        </w:rPr>
      </w:pPr>
      <w:bookmarkStart w:id="10" w:name="heading_10"/>
      <w:r>
        <w:rPr>
          <w:rFonts w:hint="eastAsia"/>
        </w:rPr>
        <w:t>六、联系方式</w:t>
      </w:r>
      <w:bookmarkEnd w:id="10"/>
    </w:p>
    <w:tbl>
      <w:tblPr>
        <w:tblStyle w:val="6"/>
        <w:tblW w:w="4891" w:type="pct"/>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2384"/>
        <w:gridCol w:w="5975"/>
      </w:tblGrid>
      <w:tr w14:paraId="55B84B3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88" w:hRule="atLeast"/>
        </w:trPr>
        <w:tc>
          <w:tcPr>
            <w:tcW w:w="1426" w:type="pct"/>
            <w:tcBorders>
              <w:top w:val="single" w:color="auto" w:sz="4" w:space="0"/>
              <w:left w:val="single" w:color="auto" w:sz="4" w:space="0"/>
              <w:bottom w:val="single" w:color="auto" w:sz="4" w:space="0"/>
              <w:right w:val="single" w:color="auto" w:sz="4" w:space="0"/>
            </w:tcBorders>
            <w:shd w:val="clear" w:color="auto" w:fill="C7DAF1" w:themeFill="text2" w:themeFillTint="32"/>
            <w:tcMar>
              <w:top w:w="60" w:type="dxa"/>
              <w:left w:w="120" w:type="dxa"/>
              <w:bottom w:w="30" w:type="dxa"/>
              <w:right w:w="120" w:type="dxa"/>
            </w:tcMar>
          </w:tcPr>
          <w:p w14:paraId="1CCF4433">
            <w:pPr>
              <w:spacing w:before="0" w:after="0" w:line="300" w:lineRule="auto"/>
              <w:jc w:val="center"/>
              <w:rPr>
                <w:rFonts w:hint="eastAsia" w:ascii="仿宋" w:hAnsi="仿宋" w:eastAsia="仿宋" w:cs="仿宋"/>
                <w:b/>
                <w:bCs/>
                <w:sz w:val="22"/>
                <w:szCs w:val="22"/>
              </w:rPr>
            </w:pPr>
            <w:r>
              <w:rPr>
                <w:rFonts w:hint="eastAsia" w:ascii="仿宋" w:hAnsi="仿宋" w:eastAsia="仿宋" w:cs="仿宋"/>
                <w:b/>
                <w:bCs/>
                <w:sz w:val="22"/>
                <w:szCs w:val="22"/>
              </w:rPr>
              <w:t>项目</w:t>
            </w:r>
          </w:p>
        </w:tc>
        <w:tc>
          <w:tcPr>
            <w:tcW w:w="3573" w:type="pct"/>
            <w:tcBorders>
              <w:top w:val="single" w:color="auto" w:sz="4" w:space="0"/>
              <w:left w:val="single" w:color="auto" w:sz="4" w:space="0"/>
              <w:bottom w:val="single" w:color="auto" w:sz="4" w:space="0"/>
              <w:right w:val="single" w:color="auto" w:sz="4" w:space="0"/>
            </w:tcBorders>
            <w:shd w:val="clear" w:color="auto" w:fill="C7DAF1" w:themeFill="text2" w:themeFillTint="32"/>
            <w:tcMar>
              <w:top w:w="60" w:type="dxa"/>
              <w:left w:w="120" w:type="dxa"/>
              <w:bottom w:w="30" w:type="dxa"/>
              <w:right w:w="120" w:type="dxa"/>
            </w:tcMar>
          </w:tcPr>
          <w:p w14:paraId="0BCC9173">
            <w:pPr>
              <w:spacing w:before="0" w:after="0" w:line="300" w:lineRule="auto"/>
              <w:jc w:val="center"/>
              <w:rPr>
                <w:rFonts w:hint="eastAsia" w:ascii="仿宋" w:hAnsi="仿宋" w:eastAsia="仿宋" w:cs="仿宋"/>
                <w:b/>
                <w:bCs/>
                <w:sz w:val="22"/>
                <w:szCs w:val="22"/>
              </w:rPr>
            </w:pPr>
            <w:r>
              <w:rPr>
                <w:rFonts w:hint="eastAsia" w:ascii="仿宋" w:hAnsi="仿宋" w:eastAsia="仿宋" w:cs="仿宋"/>
                <w:b/>
                <w:bCs/>
                <w:sz w:val="22"/>
                <w:szCs w:val="22"/>
              </w:rPr>
              <w:t>信息</w:t>
            </w:r>
          </w:p>
        </w:tc>
      </w:tr>
      <w:tr w14:paraId="4B2E743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88" w:hRule="atLeast"/>
        </w:trPr>
        <w:tc>
          <w:tcPr>
            <w:tcW w:w="1426"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E9D2744">
            <w:pPr>
              <w:spacing w:before="0" w:after="0" w:line="300" w:lineRule="auto"/>
              <w:jc w:val="center"/>
              <w:rPr>
                <w:rFonts w:hint="eastAsia" w:ascii="仿宋" w:hAnsi="仿宋" w:eastAsia="仿宋" w:cs="仿宋"/>
                <w:sz w:val="22"/>
                <w:szCs w:val="22"/>
              </w:rPr>
            </w:pPr>
            <w:r>
              <w:rPr>
                <w:rFonts w:hint="eastAsia" w:ascii="仿宋" w:hAnsi="仿宋" w:eastAsia="仿宋" w:cs="仿宋"/>
                <w:sz w:val="22"/>
                <w:szCs w:val="22"/>
              </w:rPr>
              <w:t>采购单位</w:t>
            </w:r>
          </w:p>
        </w:tc>
        <w:tc>
          <w:tcPr>
            <w:tcW w:w="357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1FCECBC">
            <w:pPr>
              <w:spacing w:before="0" w:after="0" w:line="300" w:lineRule="auto"/>
              <w:jc w:val="center"/>
              <w:rPr>
                <w:rFonts w:hint="eastAsia" w:ascii="仿宋" w:hAnsi="仿宋" w:eastAsia="仿宋" w:cs="仿宋"/>
                <w:sz w:val="22"/>
                <w:szCs w:val="22"/>
              </w:rPr>
            </w:pPr>
            <w:r>
              <w:rPr>
                <w:rFonts w:hint="eastAsia" w:ascii="仿宋" w:hAnsi="仿宋" w:eastAsia="仿宋" w:cs="仿宋"/>
                <w:sz w:val="22"/>
                <w:szCs w:val="22"/>
              </w:rPr>
              <w:t>海南师范大学音乐学院</w:t>
            </w:r>
          </w:p>
        </w:tc>
      </w:tr>
      <w:tr w14:paraId="54BFB6C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32" w:hRule="atLeast"/>
        </w:trPr>
        <w:tc>
          <w:tcPr>
            <w:tcW w:w="1426"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7953006">
            <w:pPr>
              <w:spacing w:before="0" w:after="0" w:line="300" w:lineRule="auto"/>
              <w:jc w:val="center"/>
              <w:rPr>
                <w:rFonts w:hint="eastAsia" w:ascii="仿宋" w:hAnsi="仿宋" w:eastAsia="仿宋" w:cs="仿宋"/>
                <w:sz w:val="22"/>
                <w:szCs w:val="22"/>
              </w:rPr>
            </w:pPr>
            <w:r>
              <w:rPr>
                <w:rFonts w:hint="eastAsia" w:ascii="仿宋" w:hAnsi="仿宋" w:eastAsia="仿宋" w:cs="仿宋"/>
                <w:sz w:val="22"/>
                <w:szCs w:val="22"/>
              </w:rPr>
              <w:t>联系人</w:t>
            </w:r>
          </w:p>
        </w:tc>
        <w:tc>
          <w:tcPr>
            <w:tcW w:w="357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7A8A81B">
            <w:pPr>
              <w:spacing w:before="0" w:after="0" w:line="300" w:lineRule="auto"/>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李老师</w:t>
            </w:r>
          </w:p>
        </w:tc>
      </w:tr>
      <w:tr w14:paraId="2895622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47" w:hRule="atLeast"/>
        </w:trPr>
        <w:tc>
          <w:tcPr>
            <w:tcW w:w="1426"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22C502B">
            <w:pPr>
              <w:spacing w:before="0" w:after="0" w:line="300" w:lineRule="auto"/>
              <w:jc w:val="center"/>
              <w:rPr>
                <w:rFonts w:hint="eastAsia" w:ascii="仿宋" w:hAnsi="仿宋" w:eastAsia="仿宋" w:cs="仿宋"/>
                <w:sz w:val="22"/>
                <w:szCs w:val="22"/>
              </w:rPr>
            </w:pPr>
            <w:r>
              <w:rPr>
                <w:rFonts w:hint="eastAsia" w:ascii="仿宋" w:hAnsi="仿宋" w:eastAsia="仿宋" w:cs="仿宋"/>
                <w:sz w:val="22"/>
                <w:szCs w:val="22"/>
              </w:rPr>
              <w:t>联系电话</w:t>
            </w:r>
          </w:p>
        </w:tc>
        <w:tc>
          <w:tcPr>
            <w:tcW w:w="357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3971EC6">
            <w:pPr>
              <w:spacing w:before="0" w:after="0" w:line="300" w:lineRule="auto"/>
              <w:jc w:val="center"/>
              <w:rPr>
                <w:rFonts w:hint="eastAsia" w:ascii="仿宋" w:hAnsi="仿宋" w:eastAsia="仿宋" w:cs="仿宋"/>
                <w:sz w:val="22"/>
                <w:szCs w:val="22"/>
              </w:rPr>
            </w:pPr>
            <w:r>
              <w:rPr>
                <w:rFonts w:hint="eastAsia" w:ascii="仿宋" w:hAnsi="仿宋" w:eastAsia="仿宋" w:cs="仿宋"/>
                <w:sz w:val="22"/>
                <w:szCs w:val="22"/>
              </w:rPr>
              <w:t>18308908320</w:t>
            </w:r>
          </w:p>
        </w:tc>
      </w:tr>
      <w:tr w14:paraId="6820E60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78" w:hRule="atLeast"/>
        </w:trPr>
        <w:tc>
          <w:tcPr>
            <w:tcW w:w="1426"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B8B711C">
            <w:pPr>
              <w:spacing w:before="0" w:after="0" w:line="300" w:lineRule="auto"/>
              <w:jc w:val="center"/>
              <w:rPr>
                <w:rFonts w:hint="eastAsia" w:ascii="仿宋" w:hAnsi="仿宋" w:eastAsia="仿宋" w:cs="仿宋"/>
                <w:sz w:val="22"/>
                <w:szCs w:val="22"/>
              </w:rPr>
            </w:pPr>
            <w:r>
              <w:rPr>
                <w:rFonts w:hint="eastAsia" w:ascii="仿宋" w:hAnsi="仿宋" w:eastAsia="仿宋" w:cs="仿宋"/>
                <w:sz w:val="22"/>
                <w:szCs w:val="22"/>
              </w:rPr>
              <w:t>电子邮箱</w:t>
            </w:r>
          </w:p>
        </w:tc>
        <w:tc>
          <w:tcPr>
            <w:tcW w:w="357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D88209B">
            <w:pPr>
              <w:spacing w:before="0" w:after="0" w:line="300" w:lineRule="auto"/>
              <w:jc w:val="center"/>
              <w:rPr>
                <w:rFonts w:hint="eastAsia" w:ascii="仿宋" w:hAnsi="仿宋" w:eastAsia="仿宋" w:cs="仿宋"/>
                <w:sz w:val="22"/>
                <w:szCs w:val="22"/>
              </w:rPr>
            </w:pPr>
            <w:r>
              <w:rPr>
                <w:rFonts w:hint="eastAsia" w:ascii="仿宋" w:hAnsi="仿宋" w:eastAsia="仿宋" w:cs="仿宋"/>
                <w:sz w:val="22"/>
                <w:szCs w:val="22"/>
              </w:rPr>
              <w:t>1048539807@qq.com</w:t>
            </w:r>
          </w:p>
        </w:tc>
      </w:tr>
      <w:tr w14:paraId="1DD1A37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88" w:hRule="atLeast"/>
        </w:trPr>
        <w:tc>
          <w:tcPr>
            <w:tcW w:w="1426"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D30A2BF">
            <w:pPr>
              <w:spacing w:before="0" w:after="0" w:line="300" w:lineRule="auto"/>
              <w:jc w:val="center"/>
              <w:rPr>
                <w:rFonts w:hint="eastAsia" w:ascii="仿宋" w:hAnsi="仿宋" w:eastAsia="仿宋" w:cs="仿宋"/>
                <w:sz w:val="22"/>
                <w:szCs w:val="22"/>
              </w:rPr>
            </w:pPr>
            <w:r>
              <w:rPr>
                <w:rFonts w:hint="eastAsia" w:ascii="仿宋" w:hAnsi="仿宋" w:eastAsia="仿宋" w:cs="仿宋"/>
                <w:sz w:val="22"/>
                <w:szCs w:val="22"/>
              </w:rPr>
              <w:t>办公地址</w:t>
            </w:r>
          </w:p>
        </w:tc>
        <w:tc>
          <w:tcPr>
            <w:tcW w:w="357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24486B2">
            <w:pPr>
              <w:spacing w:before="0" w:after="0" w:line="300" w:lineRule="auto"/>
              <w:jc w:val="center"/>
              <w:rPr>
                <w:rFonts w:hint="eastAsia" w:ascii="仿宋" w:hAnsi="仿宋" w:eastAsia="仿宋" w:cs="仿宋"/>
                <w:sz w:val="22"/>
                <w:szCs w:val="22"/>
              </w:rPr>
            </w:pPr>
            <w:r>
              <w:rPr>
                <w:rFonts w:hint="eastAsia" w:ascii="仿宋" w:hAnsi="仿宋" w:eastAsia="仿宋" w:cs="仿宋"/>
                <w:sz w:val="22"/>
                <w:szCs w:val="22"/>
              </w:rPr>
              <w:t>海南省海口市海南师范大学音乐学院</w:t>
            </w:r>
          </w:p>
        </w:tc>
      </w:tr>
      <w:tr w14:paraId="751B45C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509" w:hRule="atLeast"/>
        </w:trPr>
        <w:tc>
          <w:tcPr>
            <w:tcW w:w="1426"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C6E4D60">
            <w:pPr>
              <w:spacing w:before="0" w:after="0" w:line="300" w:lineRule="auto"/>
              <w:jc w:val="center"/>
              <w:rPr>
                <w:rFonts w:hint="eastAsia" w:ascii="仿宋" w:hAnsi="仿宋" w:eastAsia="仿宋" w:cs="仿宋"/>
                <w:sz w:val="22"/>
                <w:szCs w:val="22"/>
              </w:rPr>
            </w:pPr>
            <w:r>
              <w:rPr>
                <w:rFonts w:hint="eastAsia" w:ascii="仿宋" w:hAnsi="仿宋" w:eastAsia="仿宋" w:cs="仿宋"/>
                <w:sz w:val="22"/>
                <w:szCs w:val="22"/>
              </w:rPr>
              <w:t>邮政编码</w:t>
            </w:r>
          </w:p>
        </w:tc>
        <w:tc>
          <w:tcPr>
            <w:tcW w:w="357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9A2136E">
            <w:pPr>
              <w:spacing w:before="0" w:after="0" w:line="300" w:lineRule="auto"/>
              <w:jc w:val="center"/>
              <w:rPr>
                <w:rFonts w:hint="eastAsia" w:ascii="仿宋" w:hAnsi="仿宋" w:eastAsia="仿宋" w:cs="仿宋"/>
                <w:sz w:val="22"/>
                <w:szCs w:val="22"/>
              </w:rPr>
            </w:pPr>
            <w:r>
              <w:rPr>
                <w:rFonts w:hint="eastAsia" w:ascii="仿宋" w:hAnsi="仿宋" w:eastAsia="仿宋" w:cs="仿宋"/>
                <w:sz w:val="22"/>
                <w:szCs w:val="22"/>
              </w:rPr>
              <w:t>571158</w:t>
            </w:r>
          </w:p>
        </w:tc>
      </w:tr>
    </w:tbl>
    <w:p w14:paraId="6770B6F6">
      <w:pPr>
        <w:pStyle w:val="3"/>
        <w:bidi w:val="0"/>
        <w:rPr>
          <w:rFonts w:hint="eastAsia"/>
        </w:rPr>
      </w:pPr>
      <w:bookmarkStart w:id="11" w:name="heading_11"/>
      <w:r>
        <w:rPr>
          <w:rFonts w:hint="eastAsia"/>
        </w:rPr>
        <w:t>七、其他事项</w:t>
      </w:r>
      <w:bookmarkEnd w:id="11"/>
    </w:p>
    <w:p w14:paraId="7AFECF45">
      <w:pPr>
        <w:pStyle w:val="8"/>
        <w:keepNext w:val="0"/>
        <w:keepLines w:val="0"/>
        <w:pageBreakBefore w:val="0"/>
        <w:widowControl/>
        <w:numPr>
          <w:numId w:val="0"/>
        </w:numPr>
        <w:kinsoku/>
        <w:wordWrap/>
        <w:overflowPunct/>
        <w:topLinePunct w:val="0"/>
        <w:autoSpaceDE/>
        <w:autoSpaceDN/>
        <w:bidi w:val="0"/>
        <w:adjustRightInd/>
        <w:snapToGrid/>
        <w:spacing w:before="0" w:after="10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1.本公告在海南师范大学音乐学院官方网站发布，公告期限为3个工作日。</w:t>
      </w:r>
    </w:p>
    <w:p w14:paraId="2A6D34A7">
      <w:pPr>
        <w:pStyle w:val="8"/>
        <w:keepNext w:val="0"/>
        <w:keepLines w:val="0"/>
        <w:pageBreakBefore w:val="0"/>
        <w:widowControl/>
        <w:numPr>
          <w:numId w:val="0"/>
        </w:numPr>
        <w:kinsoku/>
        <w:wordWrap/>
        <w:overflowPunct/>
        <w:topLinePunct w:val="0"/>
        <w:autoSpaceDE/>
        <w:autoSpaceDN/>
        <w:bidi w:val="0"/>
        <w:adjustRightInd/>
        <w:snapToGrid/>
        <w:spacing w:before="0" w:after="10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2.供应商对本次采购事项如有疑问，可在报名截止前以书面形式向采购单位提出，采购单位将以书面形式统一答复。</w:t>
      </w:r>
    </w:p>
    <w:p w14:paraId="3492B5EA">
      <w:pPr>
        <w:pStyle w:val="8"/>
        <w:keepNext w:val="0"/>
        <w:keepLines w:val="0"/>
        <w:pageBreakBefore w:val="0"/>
        <w:widowControl/>
        <w:numPr>
          <w:numId w:val="0"/>
        </w:numPr>
        <w:kinsoku/>
        <w:wordWrap/>
        <w:overflowPunct/>
        <w:topLinePunct w:val="0"/>
        <w:autoSpaceDE/>
        <w:autoSpaceDN/>
        <w:bidi w:val="0"/>
        <w:adjustRightInd/>
        <w:snapToGrid/>
        <w:spacing w:before="0" w:after="10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3.本项目分3个分包，供应商可投报一个或多个分包，各分包独立评审、独立确定服务单位。</w:t>
      </w:r>
    </w:p>
    <w:p w14:paraId="4C84193F">
      <w:pPr>
        <w:pStyle w:val="8"/>
        <w:keepNext w:val="0"/>
        <w:keepLines w:val="0"/>
        <w:pageBreakBefore w:val="0"/>
        <w:widowControl/>
        <w:numPr>
          <w:numId w:val="0"/>
        </w:numPr>
        <w:kinsoku/>
        <w:wordWrap/>
        <w:overflowPunct/>
        <w:topLinePunct w:val="0"/>
        <w:autoSpaceDE/>
        <w:autoSpaceDN/>
        <w:bidi w:val="0"/>
        <w:adjustRightInd/>
        <w:snapToGrid/>
        <w:spacing w:before="0" w:after="10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4.本项目最终解释权归海南师范大学音乐学院所有。</w:t>
      </w:r>
    </w:p>
    <w:p w14:paraId="5CA62510">
      <w:pPr>
        <w:keepNext w:val="0"/>
        <w:keepLines w:val="0"/>
        <w:pageBreakBefore w:val="0"/>
        <w:widowControl w:val="0"/>
        <w:kinsoku/>
        <w:wordWrap/>
        <w:overflowPunct/>
        <w:topLinePunct w:val="0"/>
        <w:autoSpaceDE/>
        <w:autoSpaceDN/>
        <w:bidi w:val="0"/>
        <w:adjustRightInd/>
        <w:snapToGrid/>
        <w:spacing w:before="120" w:after="120" w:line="360" w:lineRule="auto"/>
        <w:ind w:left="0" w:firstLine="560" w:firstLineChars="200"/>
        <w:jc w:val="center"/>
        <w:textAlignment w:val="auto"/>
        <w:rPr>
          <w:rFonts w:hint="eastAsia" w:ascii="仿宋" w:hAnsi="仿宋" w:eastAsia="仿宋" w:cs="仿宋"/>
          <w:color w:val="auto"/>
          <w:sz w:val="28"/>
          <w:szCs w:val="28"/>
        </w:rPr>
      </w:pPr>
    </w:p>
    <w:p w14:paraId="7427B63C">
      <w:pPr>
        <w:keepNext w:val="0"/>
        <w:keepLines w:val="0"/>
        <w:pageBreakBefore w:val="0"/>
        <w:widowControl w:val="0"/>
        <w:kinsoku/>
        <w:wordWrap/>
        <w:overflowPunct/>
        <w:topLinePunct w:val="0"/>
        <w:autoSpaceDE/>
        <w:autoSpaceDN/>
        <w:bidi w:val="0"/>
        <w:adjustRightInd/>
        <w:snapToGrid/>
        <w:spacing w:before="120" w:after="120" w:line="360" w:lineRule="auto"/>
        <w:ind w:left="0" w:firstLine="562" w:firstLineChars="200"/>
        <w:jc w:val="right"/>
        <w:textAlignment w:val="auto"/>
        <w:rPr>
          <w:rFonts w:hint="eastAsia" w:ascii="仿宋" w:hAnsi="仿宋" w:eastAsia="仿宋" w:cs="仿宋"/>
          <w:color w:val="auto"/>
          <w:sz w:val="28"/>
          <w:szCs w:val="28"/>
          <w:lang w:eastAsia="zh-CN"/>
        </w:rPr>
      </w:pPr>
      <w:r>
        <w:rPr>
          <w:rFonts w:hint="eastAsia" w:ascii="仿宋" w:hAnsi="仿宋" w:eastAsia="仿宋" w:cs="仿宋"/>
          <w:b/>
          <w:bCs/>
          <w:color w:val="auto"/>
          <w:sz w:val="28"/>
          <w:szCs w:val="28"/>
        </w:rPr>
        <w:t>海南师范大学音乐学院</w:t>
      </w:r>
    </w:p>
    <w:p w14:paraId="0F2C9D4D">
      <w:pPr>
        <w:keepNext w:val="0"/>
        <w:keepLines w:val="0"/>
        <w:pageBreakBefore w:val="0"/>
        <w:widowControl w:val="0"/>
        <w:kinsoku/>
        <w:wordWrap/>
        <w:overflowPunct/>
        <w:topLinePunct w:val="0"/>
        <w:autoSpaceDE/>
        <w:autoSpaceDN/>
        <w:bidi w:val="0"/>
        <w:adjustRightInd/>
        <w:snapToGrid/>
        <w:spacing w:before="120" w:after="120" w:line="360" w:lineRule="auto"/>
        <w:ind w:left="0" w:firstLine="560" w:firstLineChars="200"/>
        <w:jc w:val="righ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2026年8月</w:t>
      </w:r>
      <w:r>
        <w:rPr>
          <w:rFonts w:hint="eastAsia" w:ascii="仿宋" w:hAnsi="仿宋" w:eastAsia="仿宋" w:cs="仿宋"/>
          <w:color w:val="auto"/>
          <w:sz w:val="28"/>
          <w:szCs w:val="28"/>
          <w:lang w:val="en-US" w:eastAsia="zh-CN"/>
        </w:rPr>
        <w:t>19</w:t>
      </w:r>
      <w:r>
        <w:rPr>
          <w:rFonts w:hint="eastAsia" w:ascii="仿宋" w:hAnsi="仿宋" w:eastAsia="仿宋" w:cs="仿宋"/>
          <w:color w:val="auto"/>
          <w:sz w:val="28"/>
          <w:szCs w:val="28"/>
        </w:rPr>
        <w:t>日</w:t>
      </w:r>
    </w:p>
    <w:sectPr>
      <w:footerReference r:id="rId3" w:type="default"/>
      <w:pgSz w:w="11905" w:h="1684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Arial">
    <w:panose1 w:val="020B0604020202020204"/>
    <w:charset w:val="00"/>
    <w:family w:val="auto"/>
    <w:pitch w:val="default"/>
    <w:sig w:usb0="E0002EFF" w:usb1="C000785B" w:usb2="00000009" w:usb3="00000000" w:csb0="400001FF" w:csb1="FFFF0000"/>
  </w:font>
  <w:font w:name="方正仿宋_GB18030">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A32E4">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4146756C">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fill on="f" focussize="0,0"/>
              <v:stroke on="f"/>
              <v:imagedata o:title=""/>
              <o:lock v:ext="edit" aspectratio="f"/>
              <v:textbox inset="0mm,0mm,0mm,0mm" style="mso-fit-shape-to-text:t;">
                <w:txbxContent>
                  <w:p w14:paraId="4146756C">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iZDAwZjM1N2MwNzgxYTVlZTRiNDk0ZmRhYWQwZGIifQ=="/>
  </w:docVars>
  <w:rsids>
    <w:rsidRoot w:val="00000000"/>
    <w:rsid w:val="18247FCE"/>
    <w:rsid w:val="601C4E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Ascii" w:hAnsiTheme="minorAscii" w:cstheme="minorBidi"/>
      <w:sz w:val="24"/>
      <w:szCs w:val="22"/>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eastAsia="仿宋" w:asciiTheme="minorAscii" w:hAnsiTheme="minorAscii"/>
      <w:b/>
      <w:kern w:val="44"/>
      <w:sz w:val="36"/>
    </w:rPr>
  </w:style>
  <w:style w:type="paragraph" w:styleId="3">
    <w:name w:val="heading 2"/>
    <w:basedOn w:val="1"/>
    <w:next w:val="1"/>
    <w:unhideWhenUsed/>
    <w:qFormat/>
    <w:uiPriority w:val="0"/>
    <w:pPr>
      <w:keepNext/>
      <w:keepLines/>
      <w:spacing w:before="280" w:beforeLines="0" w:beforeAutospacing="0" w:after="160" w:afterLines="0" w:afterAutospacing="0" w:line="360" w:lineRule="auto"/>
      <w:jc w:val="left"/>
      <w:outlineLvl w:val="1"/>
    </w:pPr>
    <w:rPr>
      <w:rFonts w:ascii="Arial" w:hAnsi="Arial" w:eastAsia="黑体"/>
      <w:b/>
      <w:sz w:val="28"/>
    </w:rPr>
  </w:style>
  <w:style w:type="paragraph" w:styleId="4">
    <w:name w:val="heading 3"/>
    <w:basedOn w:val="1"/>
    <w:next w:val="1"/>
    <w:unhideWhenUsed/>
    <w:qFormat/>
    <w:uiPriority w:val="0"/>
    <w:pPr>
      <w:keepNext/>
      <w:keepLines/>
      <w:spacing w:before="120" w:beforeLines="0" w:beforeAutospacing="0" w:after="120" w:afterLines="0" w:afterAutospacing="0" w:line="360" w:lineRule="auto"/>
      <w:outlineLvl w:val="2"/>
    </w:pPr>
    <w:rPr>
      <w:b/>
      <w:sz w:val="24"/>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8">
    <w:name w:val="List Paragraph"/>
    <w:qFormat/>
    <w:uiPriority w:val="0"/>
    <w:rPr>
      <w:rFonts w:ascii="仿宋" w:hAnsi="仿宋" w:eastAsia="仿宋" w:cs="仿宋"/>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2084</Words>
  <Characters>2149</Characters>
  <TotalTime>26</TotalTime>
  <ScaleCrop>false</ScaleCrop>
  <LinksUpToDate>false</LinksUpToDate>
  <CharactersWithSpaces>2149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2026-08-19T05:06:00Z</dcterms:created>
  <dc:creator>Apache POI</dc:creator>
  <cp:lastModifiedBy>搞清楚</cp:lastModifiedBy>
  <dcterms:modified xsi:type="dcterms:W3CDTF">2026-08-19T08:36:35Z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{"Label":"1","ContentProducer":"001191110102MACQD9K64010000","ProduceID":"7675604801862503615","ReservedCode1":"","ContentPropagator":"","PropagateID":"","ReservedCode2":""}</vt:lpwstr>
  </property>
  <property fmtid="{D5CDD505-2E9C-101B-9397-08002B2CF9AE}" pid="3" name="KSOProductBuildVer">
    <vt:lpwstr>2052-12.1.0.28043</vt:lpwstr>
  </property>
  <property fmtid="{D5CDD505-2E9C-101B-9397-08002B2CF9AE}" pid="4" name="ICV">
    <vt:lpwstr>7A22924D9A894EF6A83400B17662DB90_13</vt:lpwstr>
  </property>
  <property fmtid="{D5CDD505-2E9C-101B-9397-08002B2CF9AE}" pid="5" name="KSOTemplateDocerSaveRecord">
    <vt:lpwstr>eyJoZGlkIjoiN2ZkN2U0NTE2ZWZjNGNkOGYwMTY5ODIwZjEyYjUxNGMiLCJ1c2VySWQiOiIxNDE3MzM1MjkwIn0=</vt:lpwstr>
  </property>
</Properties>
</file>